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D283" w14:textId="77777777" w:rsidR="004633FA" w:rsidRPr="00934F13" w:rsidRDefault="004633FA" w:rsidP="004633FA">
      <w:pPr>
        <w:pStyle w:val="Tittel"/>
        <w:rPr>
          <w:color w:val="auto"/>
        </w:rPr>
      </w:pPr>
      <w:r w:rsidRPr="00934F13">
        <w:rPr>
          <w:color w:val="auto"/>
        </w:rPr>
        <w:t xml:space="preserve">Avtale om overføring av </w:t>
      </w:r>
      <w:r>
        <w:rPr>
          <w:color w:val="auto"/>
        </w:rPr>
        <w:t xml:space="preserve">justeringsplikt og justeringsrett ved overdragelse av fast eiendom </w:t>
      </w:r>
    </w:p>
    <w:p w14:paraId="6713BAA3" w14:textId="1AC51B6F" w:rsidR="004633FA" w:rsidRPr="00934F13" w:rsidRDefault="004633FA" w:rsidP="004633FA">
      <w:pPr>
        <w:spacing w:after="280" w:afterAutospacing="1"/>
      </w:pPr>
      <w:r>
        <w:t xml:space="preserve">Partene har inngått avtale om </w:t>
      </w:r>
      <w:r w:rsidRPr="00934F13">
        <w:t>overdragelse av</w:t>
      </w:r>
      <w:r w:rsidR="00955425">
        <w:t xml:space="preserve"> </w:t>
      </w:r>
      <w:r w:rsidR="004E1D83">
        <w:t>infrastruktur/</w:t>
      </w:r>
      <w:r w:rsidR="00955425">
        <w:t>vei</w:t>
      </w:r>
      <w:r w:rsidR="00B54AEC">
        <w:t xml:space="preserve"> over </w:t>
      </w:r>
      <w:proofErr w:type="spellStart"/>
      <w:r w:rsidR="00B54AEC">
        <w:t>Mølnelva</w:t>
      </w:r>
      <w:proofErr w:type="spellEnd"/>
      <w:r>
        <w:t xml:space="preserve"> </w:t>
      </w:r>
      <w:r w:rsidRPr="00934F13">
        <w:t xml:space="preserve">fra </w:t>
      </w:r>
      <w:r w:rsidR="00B54AEC">
        <w:t>Innhavet Transport</w:t>
      </w:r>
      <w:r w:rsidRPr="00934F13">
        <w:t xml:space="preserve"> AS, org. nr. </w:t>
      </w:r>
      <w:r w:rsidR="00B54AEC">
        <w:t>972 409 979</w:t>
      </w:r>
      <w:r w:rsidRPr="001E1F54">
        <w:t xml:space="preserve">MVA til </w:t>
      </w:r>
      <w:r w:rsidR="00B54AEC">
        <w:t>Hamarøy kommune</w:t>
      </w:r>
      <w:r w:rsidRPr="001E1F54">
        <w:t>, org. nr. 9</w:t>
      </w:r>
      <w:r w:rsidR="00E84424">
        <w:t>70 542 507</w:t>
      </w:r>
      <w:r w:rsidRPr="001E1F54">
        <w:t>MVA,</w:t>
      </w:r>
      <w:r>
        <w:t xml:space="preserve"> jf. </w:t>
      </w:r>
      <w:r w:rsidR="00E84424">
        <w:t xml:space="preserve">utbyggingsavtale </w:t>
      </w:r>
      <w:r>
        <w:t xml:space="preserve">datert </w:t>
      </w:r>
      <w:r w:rsidR="00E84424" w:rsidRPr="00E84424">
        <w:rPr>
          <w:highlight w:val="yellow"/>
        </w:rPr>
        <w:t>………..</w:t>
      </w:r>
      <w:r w:rsidRPr="00E84424">
        <w:rPr>
          <w:highlight w:val="yellow"/>
        </w:rPr>
        <w:t>.</w:t>
      </w:r>
      <w:r w:rsidRPr="00E84544">
        <w:t>202</w:t>
      </w:r>
      <w:r w:rsidR="00E84424">
        <w:t>3</w:t>
      </w:r>
      <w:r w:rsidRPr="00E84544">
        <w:t>.</w:t>
      </w:r>
      <w:r>
        <w:t xml:space="preserve"> Partene er i denne forbindelse enige om at det </w:t>
      </w:r>
      <w:r w:rsidRPr="001E1F54">
        <w:t>inngås avtale om overføring av plikt til å justere</w:t>
      </w:r>
      <w:r w:rsidRPr="00934F13">
        <w:t xml:space="preserve"> fradragsført inngående merverdiavgift relatert til </w:t>
      </w:r>
      <w:r w:rsidR="00FF7742">
        <w:t>infrastruktur/</w:t>
      </w:r>
      <w:r w:rsidR="00E62587">
        <w:t>veibygging på følgende eiendom</w:t>
      </w:r>
      <w:r>
        <w:t>:</w:t>
      </w:r>
    </w:p>
    <w:tbl>
      <w:tblPr>
        <w:tblW w:w="0" w:type="auto"/>
        <w:jc w:val="center"/>
        <w:tblCellMar>
          <w:left w:w="0" w:type="dxa"/>
          <w:right w:w="0" w:type="dxa"/>
        </w:tblCellMar>
        <w:tblLook w:val="04A0" w:firstRow="1" w:lastRow="0" w:firstColumn="1" w:lastColumn="0" w:noHBand="0" w:noVBand="1"/>
      </w:tblPr>
      <w:tblGrid>
        <w:gridCol w:w="2282"/>
        <w:gridCol w:w="2391"/>
      </w:tblGrid>
      <w:tr w:rsidR="004633FA" w:rsidRPr="00D3212D" w14:paraId="528AE9A0"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7AEBF141" w14:textId="77777777" w:rsidR="004633FA" w:rsidRPr="00D3212D" w:rsidRDefault="004633FA" w:rsidP="002D3437">
            <w:pPr>
              <w:spacing w:after="0"/>
            </w:pPr>
            <w:r w:rsidRPr="00D3212D">
              <w:rPr>
                <w:b/>
                <w:bCs/>
              </w:rPr>
              <w:t>Gårdsnummer (gnr.).: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489335FC" w14:textId="0F1D6201" w:rsidR="004633FA" w:rsidRPr="00D3212D" w:rsidRDefault="00E62587" w:rsidP="002D3437">
            <w:pPr>
              <w:spacing w:after="0"/>
            </w:pPr>
            <w:r>
              <w:t>85</w:t>
            </w:r>
          </w:p>
        </w:tc>
      </w:tr>
      <w:tr w:rsidR="004633FA" w:rsidRPr="00D3212D" w14:paraId="4EF0E9F3"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36317A3D" w14:textId="77777777" w:rsidR="004633FA" w:rsidRPr="00D3212D" w:rsidRDefault="004633FA" w:rsidP="002D3437">
            <w:pPr>
              <w:spacing w:after="0"/>
            </w:pPr>
            <w:r w:rsidRPr="00D3212D">
              <w:rPr>
                <w:b/>
                <w:bCs/>
              </w:rPr>
              <w:t>Bruksnummer (bnr.):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232B4B35" w14:textId="1820C1DE" w:rsidR="004633FA" w:rsidRPr="00D3212D" w:rsidRDefault="00E62587" w:rsidP="002D3437">
            <w:pPr>
              <w:spacing w:after="0"/>
            </w:pPr>
            <w:r>
              <w:t xml:space="preserve">190, 29, </w:t>
            </w:r>
            <w:proofErr w:type="spellStart"/>
            <w:proofErr w:type="gramStart"/>
            <w:r>
              <w:t>m.fl</w:t>
            </w:r>
            <w:proofErr w:type="spellEnd"/>
            <w:proofErr w:type="gramEnd"/>
            <w:r>
              <w:t xml:space="preserve"> </w:t>
            </w:r>
            <w:r w:rsidRPr="00E62587">
              <w:rPr>
                <w:highlight w:val="yellow"/>
              </w:rPr>
              <w:t>(må angis</w:t>
            </w:r>
            <w:r>
              <w:t>)</w:t>
            </w:r>
          </w:p>
        </w:tc>
      </w:tr>
      <w:tr w:rsidR="004633FA" w:rsidRPr="00D3212D" w14:paraId="1BAAC716"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0B4BE3E0" w14:textId="77777777" w:rsidR="004633FA" w:rsidRPr="00D3212D" w:rsidRDefault="004633FA" w:rsidP="002D3437">
            <w:pPr>
              <w:spacing w:after="0"/>
            </w:pPr>
            <w:r w:rsidRPr="00D3212D">
              <w:rPr>
                <w:b/>
                <w:bCs/>
              </w:rPr>
              <w:t>Adresse eiendom: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7971BE9F" w14:textId="67E1DB0A" w:rsidR="004633FA" w:rsidRPr="00D3212D" w:rsidRDefault="00E62587" w:rsidP="002D3437">
            <w:pPr>
              <w:spacing w:after="0"/>
            </w:pPr>
            <w:proofErr w:type="spellStart"/>
            <w:r>
              <w:t>Mølnelva</w:t>
            </w:r>
            <w:proofErr w:type="spellEnd"/>
            <w:r w:rsidR="002A7445">
              <w:t>, Innhavet</w:t>
            </w:r>
          </w:p>
        </w:tc>
      </w:tr>
      <w:tr w:rsidR="004633FA" w:rsidRPr="00D3212D" w14:paraId="4488EC38"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01A44B12" w14:textId="77777777" w:rsidR="004633FA" w:rsidRPr="00D3212D" w:rsidRDefault="004633FA" w:rsidP="002D3437">
            <w:pPr>
              <w:spacing w:after="0"/>
            </w:pPr>
            <w:r w:rsidRPr="00D3212D">
              <w:rPr>
                <w:b/>
                <w:bCs/>
              </w:rPr>
              <w:t>Kommune: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16E0AE3C" w14:textId="7D47D007" w:rsidR="004633FA" w:rsidRPr="00D3212D" w:rsidRDefault="008D02FC" w:rsidP="002D3437">
            <w:pPr>
              <w:spacing w:after="0"/>
            </w:pPr>
            <w:r>
              <w:t>1875 Hamarøy</w:t>
            </w:r>
          </w:p>
        </w:tc>
      </w:tr>
      <w:tr w:rsidR="004633FA" w:rsidRPr="00D3212D" w14:paraId="011E2BA3"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53DAFD11" w14:textId="77777777" w:rsidR="004633FA" w:rsidRPr="00D3212D" w:rsidRDefault="004633FA" w:rsidP="002D3437">
            <w:pPr>
              <w:spacing w:after="0"/>
            </w:pPr>
            <w:r w:rsidRPr="00D3212D">
              <w:rPr>
                <w:b/>
                <w:bCs/>
              </w:rPr>
              <w:t>Ferdigstillelsesdato: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132B59BC" w14:textId="00212C49" w:rsidR="004633FA" w:rsidRPr="00D3212D" w:rsidRDefault="005A28F6" w:rsidP="002D3437">
            <w:pPr>
              <w:spacing w:after="0"/>
            </w:pPr>
            <w:r w:rsidRPr="005A28F6">
              <w:rPr>
                <w:highlight w:val="yellow"/>
              </w:rPr>
              <w:t>…………………….</w:t>
            </w:r>
          </w:p>
        </w:tc>
      </w:tr>
    </w:tbl>
    <w:p w14:paraId="7D7CB160" w14:textId="55BCA5FB" w:rsidR="004633FA" w:rsidRPr="00D3212D" w:rsidRDefault="004633FA" w:rsidP="004633FA">
      <w:pPr>
        <w:spacing w:after="280" w:afterAutospacing="1"/>
      </w:pPr>
      <w:r w:rsidRPr="00682EBA">
        <w:rPr>
          <w:color w:val="FF0000"/>
        </w:rPr>
        <w:br/>
      </w:r>
      <w:r w:rsidRPr="00D3212D">
        <w:t xml:space="preserve">Ved denne avtalen erklærer </w:t>
      </w:r>
      <w:r w:rsidR="005A28F6">
        <w:t>Hamarøy kommune</w:t>
      </w:r>
      <w:r w:rsidRPr="00D3212D">
        <w:t xml:space="preserve"> at justeringsforpliktelsen er overtatt samtidig som det innestås for at fradragsretten er like stor som fradragsretten hos </w:t>
      </w:r>
      <w:r w:rsidR="005A28F6">
        <w:t>Innhavet Transport AS</w:t>
      </w:r>
      <w:r w:rsidRPr="00D3212D">
        <w:t>.</w:t>
      </w:r>
    </w:p>
    <w:p w14:paraId="33ADB3AD" w14:textId="77777777" w:rsidR="004633FA" w:rsidRPr="00087121" w:rsidRDefault="004633FA" w:rsidP="004633FA">
      <w:pPr>
        <w:spacing w:after="280" w:afterAutospacing="1"/>
      </w:pPr>
      <w:r w:rsidRPr="00087121">
        <w:t>Rettslig grunnlag for overføringen av justeringsforpliktelse følger av forskrift til merverdiavgiftsloven § 9-3, gitt med hjemmel i merverdiavgiftsloven § 9-3, hvoretter det er adgang til å overføre plikten til å justere fradragsført inngående merverdiavgift for fast eiendom som overdras, når mottaker registrert i avgiftsmanntallet av eiendommen har minst samme fradragsrett for inngående merverdiavgift relatert til eiendommen, som overdrageren hadde ved ferdigstillelse av eiendommen.</w:t>
      </w:r>
    </w:p>
    <w:p w14:paraId="29D2C658" w14:textId="77777777" w:rsidR="004633FA" w:rsidRPr="00087121" w:rsidRDefault="004633FA" w:rsidP="004633FA">
      <w:pPr>
        <w:spacing w:after="280" w:afterAutospacing="1"/>
      </w:pPr>
      <w:r w:rsidRPr="00087121">
        <w:t xml:space="preserve">Fra </w:t>
      </w:r>
      <w:proofErr w:type="spellStart"/>
      <w:r w:rsidRPr="00087121">
        <w:t>merverdiavgiftsforskriftens</w:t>
      </w:r>
      <w:proofErr w:type="spellEnd"/>
      <w:r w:rsidRPr="00087121">
        <w:t xml:space="preserve"> § 9-3-2 hitsettes:</w:t>
      </w:r>
    </w:p>
    <w:p w14:paraId="160FF749" w14:textId="77777777" w:rsidR="004633FA" w:rsidRPr="007E5577" w:rsidRDefault="004633FA" w:rsidP="004633FA">
      <w:pPr>
        <w:pBdr>
          <w:left w:val="nil"/>
        </w:pBdr>
        <w:spacing w:after="280" w:afterAutospacing="1"/>
      </w:pPr>
      <w:r w:rsidRPr="007E5577">
        <w:rPr>
          <w:b/>
          <w:bCs/>
        </w:rPr>
        <w:t>Vilkår for overføring av justeringsplikten</w:t>
      </w:r>
    </w:p>
    <w:p w14:paraId="7D8E72C6" w14:textId="77777777" w:rsidR="004633FA" w:rsidRDefault="004633FA" w:rsidP="004633FA">
      <w:pPr>
        <w:numPr>
          <w:ilvl w:val="0"/>
          <w:numId w:val="1"/>
        </w:numPr>
        <w:spacing w:before="40" w:after="0" w:line="240" w:lineRule="auto"/>
      </w:pPr>
      <w:r w:rsidRPr="007E5577">
        <w:t xml:space="preserve">Det er et vilkår for overføring av justeringsplikten at mottakeren er et registrert </w:t>
      </w:r>
      <w:proofErr w:type="spellStart"/>
      <w:r w:rsidRPr="007E5577">
        <w:t>avgiftssubjekt</w:t>
      </w:r>
      <w:proofErr w:type="spellEnd"/>
      <w:r w:rsidRPr="007E5577">
        <w:t xml:space="preserve"> på overdragelsestidspunktet eller blir et registrert </w:t>
      </w:r>
      <w:proofErr w:type="spellStart"/>
      <w:r w:rsidRPr="007E5577">
        <w:t>avgiftssubjekt</w:t>
      </w:r>
      <w:proofErr w:type="spellEnd"/>
      <w:r w:rsidRPr="007E5577">
        <w:t xml:space="preserve"> senest i samme termin som overdragelsen skjer. Dersom mottakerens fradragsrett er mindre enn overdragerens fradragsrett, kan mottakeren bare overta den delen av overdragerens justeringsplikt som svarer til mottakerens fradragsrett for kapitalvaren. Den resterende delen av justeringsplikten må justeres samlet av overdrageren.</w:t>
      </w:r>
    </w:p>
    <w:p w14:paraId="5CD60C2A" w14:textId="77777777" w:rsidR="004633FA" w:rsidRPr="007E5577" w:rsidRDefault="004633FA" w:rsidP="004633FA">
      <w:pPr>
        <w:numPr>
          <w:ilvl w:val="0"/>
          <w:numId w:val="1"/>
        </w:numPr>
        <w:spacing w:before="40" w:after="0" w:line="240" w:lineRule="auto"/>
      </w:pPr>
      <w:r>
        <w:rPr>
          <w:color w:val="000000"/>
          <w:shd w:val="clear" w:color="auto" w:fill="FFFFFF"/>
        </w:rPr>
        <w:t xml:space="preserve">Dersom mottaker ikke oppfyller vilkårene i første ledd første punktum, kan justeringsplikten likevel overføres til ny mottaker dersom denne er et registrert </w:t>
      </w:r>
      <w:proofErr w:type="spellStart"/>
      <w:r>
        <w:rPr>
          <w:color w:val="000000"/>
          <w:shd w:val="clear" w:color="auto" w:fill="FFFFFF"/>
        </w:rPr>
        <w:t>avgiftssubjekt</w:t>
      </w:r>
      <w:proofErr w:type="spellEnd"/>
      <w:r>
        <w:rPr>
          <w:color w:val="000000"/>
          <w:shd w:val="clear" w:color="auto" w:fill="FFFFFF"/>
        </w:rPr>
        <w:t xml:space="preserve"> eller blir et registrert </w:t>
      </w:r>
      <w:proofErr w:type="spellStart"/>
      <w:r>
        <w:rPr>
          <w:color w:val="000000"/>
          <w:shd w:val="clear" w:color="auto" w:fill="FFFFFF"/>
        </w:rPr>
        <w:t>avgiftssubjekt</w:t>
      </w:r>
      <w:proofErr w:type="spellEnd"/>
      <w:r>
        <w:rPr>
          <w:color w:val="000000"/>
          <w:shd w:val="clear" w:color="auto" w:fill="FFFFFF"/>
        </w:rPr>
        <w:t xml:space="preserve"> senest i samme termin som første overdragelsen skjer. Overføring av justeringsplikten i slike tilfeller forutsetter at midlertidig mottaker ikke tar kapitalvaren i bruk.</w:t>
      </w:r>
    </w:p>
    <w:p w14:paraId="1A9D9960" w14:textId="77777777" w:rsidR="004633FA" w:rsidRPr="007E5577" w:rsidRDefault="004633FA" w:rsidP="004633FA">
      <w:pPr>
        <w:numPr>
          <w:ilvl w:val="0"/>
          <w:numId w:val="1"/>
        </w:numPr>
        <w:spacing w:before="40" w:after="0" w:line="240" w:lineRule="auto"/>
      </w:pPr>
      <w:r w:rsidRPr="007E5577">
        <w:t>Det er et vilkår for overføring av justeringsplikten at mottakeren samtykker i overføringen.</w:t>
      </w:r>
    </w:p>
    <w:p w14:paraId="2B11C3DB" w14:textId="77777777" w:rsidR="004633FA" w:rsidRPr="007E5577" w:rsidRDefault="004633FA" w:rsidP="004633FA">
      <w:pPr>
        <w:numPr>
          <w:ilvl w:val="0"/>
          <w:numId w:val="1"/>
        </w:numPr>
        <w:spacing w:before="40" w:after="280" w:afterAutospacing="1" w:line="240" w:lineRule="auto"/>
      </w:pPr>
      <w:r w:rsidRPr="007E5577">
        <w:t>Dersom mottakeren er en kommune eller andre kompensasjonsberettigede, kan justeringsplikten overføres på de samme vilkår som nevnt i første og annet ledd i den utstrekning kapitalvaren anskaffes til bruk i virksomhet som er kompensasjonsberettiget etter lov 12. desember 2003 nr. 108 om kompensasjon av merverdiavgift for kommuner, fylkeskommuner mv.”</w:t>
      </w:r>
    </w:p>
    <w:p w14:paraId="63936313" w14:textId="77777777" w:rsidR="004633FA" w:rsidRPr="007E5577" w:rsidRDefault="004633FA" w:rsidP="004633FA">
      <w:pPr>
        <w:spacing w:after="280" w:afterAutospacing="1"/>
      </w:pPr>
      <w:r w:rsidRPr="007E5577">
        <w:t xml:space="preserve">I henhold til </w:t>
      </w:r>
      <w:proofErr w:type="spellStart"/>
      <w:r w:rsidRPr="007E5577">
        <w:t>merverdiavgiftsforskriftens</w:t>
      </w:r>
      <w:proofErr w:type="spellEnd"/>
      <w:r w:rsidRPr="007E5577">
        <w:t xml:space="preserve"> § 9-3-3 dokumenteres overføringen av justeringsforpliktelsen med følgende opplysninger:</w:t>
      </w:r>
    </w:p>
    <w:tbl>
      <w:tblPr>
        <w:tblW w:w="5000" w:type="pct"/>
        <w:jc w:val="center"/>
        <w:tblCellMar>
          <w:left w:w="0" w:type="dxa"/>
          <w:right w:w="0" w:type="dxa"/>
        </w:tblCellMar>
        <w:tblLook w:val="04A0" w:firstRow="1" w:lastRow="0" w:firstColumn="1" w:lastColumn="0" w:noHBand="0" w:noVBand="1"/>
      </w:tblPr>
      <w:tblGrid>
        <w:gridCol w:w="3111"/>
        <w:gridCol w:w="3052"/>
        <w:gridCol w:w="2893"/>
      </w:tblGrid>
      <w:tr w:rsidR="004633FA" w:rsidRPr="00682EBA" w14:paraId="025925BC"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14:paraId="284CCAC9" w14:textId="77777777" w:rsidR="004633FA" w:rsidRPr="002A1673" w:rsidRDefault="004633FA" w:rsidP="002D3437">
            <w:pPr>
              <w:spacing w:after="0"/>
            </w:pPr>
          </w:p>
        </w:tc>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14:paraId="250C56AA" w14:textId="77777777" w:rsidR="004633FA" w:rsidRPr="002A1673" w:rsidRDefault="004633FA" w:rsidP="002D3437">
            <w:pPr>
              <w:spacing w:after="0"/>
            </w:pPr>
            <w:r w:rsidRPr="002A1673">
              <w:rPr>
                <w:b/>
                <w:bCs/>
              </w:rPr>
              <w:t>Overdrager</w:t>
            </w:r>
          </w:p>
        </w:tc>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14:paraId="656582D6" w14:textId="77777777" w:rsidR="004633FA" w:rsidRPr="002A1673" w:rsidRDefault="004633FA" w:rsidP="002D3437">
            <w:pPr>
              <w:spacing w:after="0"/>
            </w:pPr>
            <w:r w:rsidRPr="002A1673">
              <w:rPr>
                <w:b/>
                <w:bCs/>
              </w:rPr>
              <w:t>Mottaker</w:t>
            </w:r>
          </w:p>
        </w:tc>
      </w:tr>
      <w:tr w:rsidR="004633FA" w:rsidRPr="00682EBA" w14:paraId="6F0F1760"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3109568B" w14:textId="77777777" w:rsidR="004633FA" w:rsidRPr="002A1673" w:rsidRDefault="004633FA" w:rsidP="002D3437">
            <w:pPr>
              <w:spacing w:after="0"/>
            </w:pPr>
            <w:r w:rsidRPr="002A1673">
              <w:rPr>
                <w:b/>
                <w:bCs/>
              </w:rPr>
              <w:t>Selskapsnavn: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4E49E3A5" w14:textId="5CF2060B" w:rsidR="004633FA" w:rsidRPr="002A1673" w:rsidRDefault="004633FA" w:rsidP="002D3437">
            <w:pPr>
              <w:spacing w:after="0"/>
            </w:pPr>
            <w:r>
              <w:t>Innhavet Transport</w:t>
            </w:r>
            <w:r w:rsidRPr="002A1673">
              <w:t xml:space="preserve"> 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03AF16EC" w14:textId="266949F4" w:rsidR="004633FA" w:rsidRPr="002A1673" w:rsidRDefault="004633FA" w:rsidP="002D3437">
            <w:pPr>
              <w:spacing w:after="0"/>
            </w:pPr>
            <w:r>
              <w:t>Hamarøy kommune</w:t>
            </w:r>
          </w:p>
        </w:tc>
      </w:tr>
      <w:tr w:rsidR="004633FA" w:rsidRPr="00682EBA" w14:paraId="2D4090E6"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3100AE32" w14:textId="77777777" w:rsidR="004633FA" w:rsidRPr="002A1673" w:rsidRDefault="004633FA" w:rsidP="002D3437">
            <w:pPr>
              <w:spacing w:after="0"/>
            </w:pPr>
            <w:r w:rsidRPr="002A1673">
              <w:rPr>
                <w:b/>
                <w:bCs/>
              </w:rPr>
              <w:t>Org.nr.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0227726F" w14:textId="5B5162D8" w:rsidR="004633FA" w:rsidRPr="001E1F54" w:rsidRDefault="004633FA" w:rsidP="002D3437">
            <w:pPr>
              <w:spacing w:after="0"/>
            </w:pPr>
            <w:r>
              <w:t xml:space="preserve">972 409 979 </w:t>
            </w:r>
            <w:r w:rsidRPr="001E1F54">
              <w:t>MVA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3E5DBDA1" w14:textId="17F04B74" w:rsidR="004633FA" w:rsidRPr="001E1F54" w:rsidRDefault="00DE6262" w:rsidP="002D3437">
            <w:pPr>
              <w:spacing w:after="0"/>
            </w:pPr>
            <w:r>
              <w:t>970 542 507</w:t>
            </w:r>
            <w:r w:rsidR="004633FA" w:rsidRPr="001E1F54">
              <w:t>MVA</w:t>
            </w:r>
          </w:p>
        </w:tc>
      </w:tr>
      <w:tr w:rsidR="004633FA" w:rsidRPr="00682EBA" w14:paraId="1E45ABC1" w14:textId="77777777" w:rsidTr="000E4161">
        <w:trPr>
          <w:trHeight w:val="20"/>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21039602" w14:textId="77777777" w:rsidR="004633FA" w:rsidRPr="002A1673" w:rsidRDefault="004633FA" w:rsidP="002D3437">
            <w:pPr>
              <w:spacing w:after="0"/>
            </w:pPr>
            <w:r w:rsidRPr="002A1673">
              <w:rPr>
                <w:b/>
                <w:bCs/>
              </w:rPr>
              <w:t>Adresse: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219E8506" w14:textId="0CA86154" w:rsidR="004633FA" w:rsidRPr="001E1F54" w:rsidRDefault="00C74CE1" w:rsidP="002D3437">
            <w:pPr>
              <w:spacing w:after="0"/>
            </w:pPr>
            <w:r>
              <w:t>Finnøyveien 64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5961F6CB" w14:textId="62AF9FE2" w:rsidR="004633FA" w:rsidRPr="001E1F54" w:rsidRDefault="00DE6262" w:rsidP="002D3437">
            <w:pPr>
              <w:spacing w:after="0"/>
            </w:pPr>
            <w:r>
              <w:t>Marie Hamsuns vei 3</w:t>
            </w:r>
          </w:p>
        </w:tc>
      </w:tr>
      <w:tr w:rsidR="004633FA" w:rsidRPr="00682EBA" w14:paraId="7C41A931"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71DAD511" w14:textId="77777777" w:rsidR="004633FA" w:rsidRPr="002A1673" w:rsidRDefault="004633FA" w:rsidP="002D3437">
            <w:pPr>
              <w:spacing w:after="0"/>
            </w:pPr>
            <w:r w:rsidRPr="002A1673">
              <w:rPr>
                <w:b/>
                <w:bCs/>
              </w:rPr>
              <w:t>Forretningskommune: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732CD1BA" w14:textId="51517F69" w:rsidR="004633FA" w:rsidRPr="001E1F54" w:rsidRDefault="002D629A" w:rsidP="002D3437">
            <w:pPr>
              <w:spacing w:after="0"/>
            </w:pPr>
            <w:r>
              <w:t>8260 Innhavet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1976C3C9" w14:textId="7BA0C97F" w:rsidR="004633FA" w:rsidRPr="001E1F54" w:rsidRDefault="00DE6262" w:rsidP="002D3437">
            <w:pPr>
              <w:spacing w:after="0"/>
            </w:pPr>
            <w:r>
              <w:t>8294 Hamarøy</w:t>
            </w:r>
          </w:p>
        </w:tc>
      </w:tr>
    </w:tbl>
    <w:p w14:paraId="7E04BF53" w14:textId="77777777" w:rsidR="004633FA" w:rsidRPr="00682EBA" w:rsidRDefault="004633FA" w:rsidP="004633FA">
      <w:pPr>
        <w:spacing w:after="280" w:afterAutospacing="1"/>
        <w:rPr>
          <w:color w:val="FF0000"/>
        </w:rPr>
      </w:pPr>
      <w:r w:rsidRPr="00682EBA">
        <w:rPr>
          <w:color w:val="FF0000"/>
        </w:rPr>
        <w:br/>
      </w:r>
    </w:p>
    <w:tbl>
      <w:tblPr>
        <w:tblW w:w="0" w:type="auto"/>
        <w:jc w:val="center"/>
        <w:tblCellMar>
          <w:left w:w="0" w:type="dxa"/>
          <w:right w:w="0" w:type="dxa"/>
        </w:tblCellMar>
        <w:tblLook w:val="04A0" w:firstRow="1" w:lastRow="0" w:firstColumn="1" w:lastColumn="0" w:noHBand="0" w:noVBand="1"/>
      </w:tblPr>
      <w:tblGrid>
        <w:gridCol w:w="2342"/>
        <w:gridCol w:w="4609"/>
      </w:tblGrid>
      <w:tr w:rsidR="004633FA" w:rsidRPr="00682EBA" w14:paraId="168E1E8F"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14:paraId="172CBD2E" w14:textId="77777777" w:rsidR="004633FA" w:rsidRPr="00C11BBC" w:rsidRDefault="004633FA" w:rsidP="002D3437">
            <w:pPr>
              <w:spacing w:after="0"/>
            </w:pPr>
            <w:r w:rsidRPr="00C11BBC">
              <w:rPr>
                <w:b/>
                <w:bCs/>
              </w:rPr>
              <w:t>Selskapsnavn</w:t>
            </w:r>
          </w:p>
        </w:tc>
        <w:tc>
          <w:tcPr>
            <w:tcW w:w="0" w:type="auto"/>
            <w:tcBorders>
              <w:top w:val="single" w:sz="6" w:space="0" w:color="CCCCCC"/>
              <w:left w:val="single" w:sz="6" w:space="0" w:color="CCCCCC"/>
              <w:bottom w:val="single" w:sz="6" w:space="0" w:color="CCCCCC"/>
              <w:right w:val="single" w:sz="6" w:space="0" w:color="CCCCCC"/>
            </w:tcBorders>
            <w:shd w:val="solid" w:color="DDDDDD" w:fill="auto"/>
            <w:tcMar>
              <w:top w:w="75" w:type="dxa"/>
              <w:left w:w="150" w:type="dxa"/>
              <w:bottom w:w="75" w:type="dxa"/>
              <w:right w:w="150" w:type="dxa"/>
            </w:tcMar>
            <w:vAlign w:val="center"/>
          </w:tcPr>
          <w:p w14:paraId="2A624216" w14:textId="77777777" w:rsidR="004633FA" w:rsidRPr="00C11BBC" w:rsidRDefault="004633FA" w:rsidP="002D3437">
            <w:pPr>
              <w:spacing w:after="0"/>
            </w:pPr>
            <w:r w:rsidRPr="00C11BBC">
              <w:rPr>
                <w:b/>
                <w:bCs/>
              </w:rPr>
              <w:t>Fradragsrett ved overdragelsen angitt i prosent</w:t>
            </w:r>
          </w:p>
        </w:tc>
      </w:tr>
      <w:tr w:rsidR="004633FA" w:rsidRPr="00682EBA" w14:paraId="504FEF50"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6537223F" w14:textId="23A18178" w:rsidR="004633FA" w:rsidRPr="00C11BBC" w:rsidRDefault="004633FA" w:rsidP="002D3437">
            <w:pPr>
              <w:spacing w:after="0"/>
            </w:pPr>
            <w:r>
              <w:rPr>
                <w:b/>
                <w:bCs/>
              </w:rPr>
              <w:t xml:space="preserve">Innhavet Transport </w:t>
            </w:r>
            <w:r w:rsidRPr="00C11BBC">
              <w:rPr>
                <w:b/>
                <w:bCs/>
              </w:rPr>
              <w:t>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0F29C3F9" w14:textId="77777777" w:rsidR="004633FA" w:rsidRPr="00C11BBC" w:rsidRDefault="004633FA" w:rsidP="002D3437">
            <w:pPr>
              <w:spacing w:after="0"/>
            </w:pPr>
            <w:r w:rsidRPr="00C11BBC">
              <w:t>100 %</w:t>
            </w:r>
          </w:p>
        </w:tc>
      </w:tr>
      <w:tr w:rsidR="004633FA" w:rsidRPr="00682EBA" w14:paraId="72D9716B" w14:textId="77777777" w:rsidTr="002D343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259CB152" w14:textId="7AC88E71" w:rsidR="004633FA" w:rsidRPr="00C11BBC" w:rsidRDefault="004633FA" w:rsidP="002D3437">
            <w:pPr>
              <w:spacing w:after="0"/>
            </w:pPr>
            <w:r>
              <w:rPr>
                <w:b/>
                <w:bCs/>
              </w:rPr>
              <w:t>Hamarøy kommune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074B67CA" w14:textId="77777777" w:rsidR="004633FA" w:rsidRPr="00C11BBC" w:rsidRDefault="004633FA" w:rsidP="002D3437">
            <w:pPr>
              <w:spacing w:after="0"/>
            </w:pPr>
            <w:r w:rsidRPr="00C11BBC">
              <w:t>100 %</w:t>
            </w:r>
          </w:p>
        </w:tc>
      </w:tr>
    </w:tbl>
    <w:p w14:paraId="1AE10930" w14:textId="77777777" w:rsidR="004633FA" w:rsidRPr="00682EBA" w:rsidRDefault="004633FA" w:rsidP="004633FA">
      <w:pPr>
        <w:spacing w:after="280" w:afterAutospacing="1"/>
        <w:rPr>
          <w:color w:val="FF0000"/>
        </w:rPr>
      </w:pPr>
    </w:p>
    <w:tbl>
      <w:tblPr>
        <w:tblW w:w="0" w:type="auto"/>
        <w:jc w:val="center"/>
        <w:tblCellMar>
          <w:left w:w="0" w:type="dxa"/>
          <w:right w:w="0" w:type="dxa"/>
        </w:tblCellMar>
        <w:tblLook w:val="04A0" w:firstRow="1" w:lastRow="0" w:firstColumn="1" w:lastColumn="0" w:noHBand="0" w:noVBand="1"/>
      </w:tblPr>
      <w:tblGrid>
        <w:gridCol w:w="4456"/>
        <w:gridCol w:w="1811"/>
      </w:tblGrid>
      <w:tr w:rsidR="004633FA" w:rsidRPr="00873927" w14:paraId="027B08FD" w14:textId="77777777" w:rsidTr="004633FA">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462A3EE5" w14:textId="77777777" w:rsidR="004633FA" w:rsidRPr="00873927" w:rsidRDefault="004633FA" w:rsidP="002D3437">
            <w:pPr>
              <w:spacing w:after="0"/>
            </w:pPr>
            <w:r w:rsidRPr="00873927">
              <w:rPr>
                <w:b/>
                <w:bCs/>
              </w:rPr>
              <w:t>Anskaffelses- eller fullføringstidspunkt</w:t>
            </w:r>
          </w:p>
        </w:tc>
        <w:tc>
          <w:tcPr>
            <w:tcW w:w="1811"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5DBBA378" w14:textId="2BDF1665" w:rsidR="004633FA" w:rsidRPr="00873927" w:rsidRDefault="004633FA" w:rsidP="002D3437">
            <w:pPr>
              <w:spacing w:after="0"/>
            </w:pPr>
            <w:r w:rsidRPr="004633FA">
              <w:rPr>
                <w:highlight w:val="yellow"/>
              </w:rPr>
              <w:t>31.</w:t>
            </w:r>
            <w:r w:rsidRPr="004633FA">
              <w:rPr>
                <w:highlight w:val="yellow"/>
              </w:rPr>
              <w:t>12.2023?</w:t>
            </w:r>
          </w:p>
        </w:tc>
      </w:tr>
      <w:tr w:rsidR="004633FA" w:rsidRPr="00873927" w14:paraId="6011DF71" w14:textId="77777777" w:rsidTr="004633FA">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451495F2" w14:textId="77777777" w:rsidR="004633FA" w:rsidRPr="00873927" w:rsidRDefault="004633FA" w:rsidP="002D3437">
            <w:pPr>
              <w:spacing w:after="0"/>
            </w:pPr>
            <w:proofErr w:type="spellStart"/>
            <w:r w:rsidRPr="00873927">
              <w:rPr>
                <w:b/>
                <w:bCs/>
              </w:rPr>
              <w:t>Anskaffelsekost</w:t>
            </w:r>
            <w:proofErr w:type="spellEnd"/>
            <w:r w:rsidRPr="00873927">
              <w:rPr>
                <w:b/>
                <w:bCs/>
              </w:rPr>
              <w:t xml:space="preserve"> ekskl. MVA</w:t>
            </w:r>
          </w:p>
        </w:tc>
        <w:tc>
          <w:tcPr>
            <w:tcW w:w="1811"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41C93C0F" w14:textId="5A2C58C7" w:rsidR="004633FA" w:rsidRPr="00873927" w:rsidRDefault="004633FA" w:rsidP="002D3437">
            <w:pPr>
              <w:spacing w:after="0"/>
            </w:pPr>
            <w:r w:rsidRPr="00873927">
              <w:t xml:space="preserve">Kr </w:t>
            </w:r>
            <w:r w:rsidR="00366688" w:rsidRPr="00366688">
              <w:rPr>
                <w:highlight w:val="yellow"/>
              </w:rPr>
              <w:t>xx</w:t>
            </w:r>
          </w:p>
        </w:tc>
      </w:tr>
      <w:tr w:rsidR="004633FA" w:rsidRPr="00873927" w14:paraId="2466163B" w14:textId="77777777" w:rsidTr="004633FA">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28B5E3A5" w14:textId="77777777" w:rsidR="004633FA" w:rsidRPr="00873927" w:rsidRDefault="004633FA" w:rsidP="002D3437">
            <w:pPr>
              <w:spacing w:after="0"/>
            </w:pPr>
            <w:r w:rsidRPr="00873927">
              <w:rPr>
                <w:b/>
                <w:bCs/>
              </w:rPr>
              <w:t>Totalt påløpt MVA</w:t>
            </w:r>
          </w:p>
        </w:tc>
        <w:tc>
          <w:tcPr>
            <w:tcW w:w="1811"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64EAF280" w14:textId="04FF8EB2" w:rsidR="004633FA" w:rsidRPr="00873927" w:rsidRDefault="004633FA" w:rsidP="002D3437">
            <w:pPr>
              <w:spacing w:after="0"/>
            </w:pPr>
            <w:r w:rsidRPr="00873927">
              <w:t xml:space="preserve">Kr </w:t>
            </w:r>
            <w:r w:rsidR="00366688" w:rsidRPr="00366688">
              <w:rPr>
                <w:highlight w:val="yellow"/>
              </w:rPr>
              <w:t>xx</w:t>
            </w:r>
          </w:p>
        </w:tc>
      </w:tr>
      <w:tr w:rsidR="004633FA" w:rsidRPr="00873927" w14:paraId="2EFE006D" w14:textId="77777777" w:rsidTr="004633FA">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7B6FA754" w14:textId="77777777" w:rsidR="004633FA" w:rsidRPr="00873927" w:rsidRDefault="004633FA" w:rsidP="002D3437">
            <w:pPr>
              <w:spacing w:after="0"/>
            </w:pPr>
            <w:r w:rsidRPr="00873927">
              <w:rPr>
                <w:b/>
                <w:bCs/>
              </w:rPr>
              <w:t>Fradragsført MVA ved anskaffelse</w:t>
            </w:r>
          </w:p>
        </w:tc>
        <w:tc>
          <w:tcPr>
            <w:tcW w:w="1811"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05732FD0" w14:textId="5939AA7A" w:rsidR="004633FA" w:rsidRPr="00873927" w:rsidRDefault="004633FA" w:rsidP="002D3437">
            <w:pPr>
              <w:spacing w:after="0"/>
            </w:pPr>
            <w:r w:rsidRPr="00873927">
              <w:t xml:space="preserve">Kr </w:t>
            </w:r>
            <w:r w:rsidR="00366688" w:rsidRPr="00366688">
              <w:rPr>
                <w:highlight w:val="yellow"/>
              </w:rPr>
              <w:t>xx</w:t>
            </w:r>
          </w:p>
        </w:tc>
      </w:tr>
      <w:tr w:rsidR="004633FA" w:rsidRPr="00873927" w14:paraId="15B4ECBB" w14:textId="77777777" w:rsidTr="004633FA">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61632279" w14:textId="77777777" w:rsidR="004633FA" w:rsidRPr="00873927" w:rsidRDefault="004633FA" w:rsidP="002D3437">
            <w:pPr>
              <w:spacing w:after="0"/>
            </w:pPr>
            <w:r w:rsidRPr="00873927">
              <w:rPr>
                <w:b/>
                <w:bCs/>
              </w:rPr>
              <w:t>Fradragsrett ved anskaffelsen angitt i prosent</w:t>
            </w:r>
          </w:p>
        </w:tc>
        <w:tc>
          <w:tcPr>
            <w:tcW w:w="1811"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332E63BC" w14:textId="77777777" w:rsidR="004633FA" w:rsidRPr="00873927" w:rsidRDefault="004633FA" w:rsidP="002D3437">
            <w:pPr>
              <w:spacing w:after="0"/>
            </w:pPr>
            <w:r w:rsidRPr="00873927">
              <w:t>100 %</w:t>
            </w:r>
          </w:p>
        </w:tc>
      </w:tr>
      <w:tr w:rsidR="004633FA" w:rsidRPr="00873927" w14:paraId="1E09E8E1" w14:textId="77777777" w:rsidTr="004633FA">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58EA75B5" w14:textId="77777777" w:rsidR="004633FA" w:rsidRPr="00873927" w:rsidRDefault="004633FA" w:rsidP="002D3437">
            <w:pPr>
              <w:spacing w:after="0"/>
            </w:pPr>
            <w:r w:rsidRPr="00873927">
              <w:rPr>
                <w:b/>
                <w:bCs/>
              </w:rPr>
              <w:t>Angivelse av overført justeringsbeløp</w:t>
            </w:r>
          </w:p>
        </w:tc>
        <w:tc>
          <w:tcPr>
            <w:tcW w:w="1811"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14:paraId="35B28E4D" w14:textId="0B6A883E" w:rsidR="004633FA" w:rsidRPr="00873927" w:rsidRDefault="004633FA" w:rsidP="002D3437">
            <w:pPr>
              <w:spacing w:after="0"/>
            </w:pPr>
            <w:r w:rsidRPr="00873927">
              <w:t xml:space="preserve">Kr </w:t>
            </w:r>
            <w:r w:rsidR="00366688" w:rsidRPr="00366688">
              <w:rPr>
                <w:highlight w:val="yellow"/>
              </w:rPr>
              <w:t>xx</w:t>
            </w:r>
          </w:p>
        </w:tc>
      </w:tr>
    </w:tbl>
    <w:p w14:paraId="7D37CF75" w14:textId="77777777" w:rsidR="004633FA" w:rsidRPr="00682EBA" w:rsidRDefault="004633FA" w:rsidP="004633FA">
      <w:pPr>
        <w:spacing w:after="280" w:afterAutospacing="1"/>
        <w:rPr>
          <w:color w:val="FF0000"/>
        </w:rPr>
      </w:pPr>
    </w:p>
    <w:p w14:paraId="611EC5E5" w14:textId="3AE408DC" w:rsidR="004633FA" w:rsidRPr="00D0737B" w:rsidRDefault="004633FA" w:rsidP="004633FA">
      <w:pPr>
        <w:pStyle w:val="MarginText"/>
        <w:spacing w:line="240" w:lineRule="auto"/>
        <w:jc w:val="left"/>
        <w:rPr>
          <w:rFonts w:ascii="Calibri" w:eastAsia="Calibri" w:hAnsi="Calibri"/>
          <w:kern w:val="0"/>
          <w:szCs w:val="22"/>
          <w:lang w:val="nb-NO" w:eastAsia="en-US"/>
        </w:rPr>
      </w:pPr>
      <w:r>
        <w:rPr>
          <w:rFonts w:ascii="Calibri" w:eastAsia="Calibri" w:hAnsi="Calibri"/>
          <w:kern w:val="0"/>
          <w:szCs w:val="22"/>
          <w:lang w:val="nb-NO" w:eastAsia="en-US"/>
        </w:rPr>
        <w:t>Hamarøy kommune</w:t>
      </w:r>
      <w:r w:rsidRPr="00D0737B">
        <w:rPr>
          <w:rFonts w:ascii="Calibri" w:eastAsia="Calibri" w:hAnsi="Calibri"/>
          <w:kern w:val="0"/>
          <w:szCs w:val="22"/>
          <w:lang w:val="nb-NO" w:eastAsia="en-US"/>
        </w:rPr>
        <w:t xml:space="preserve"> er innforstått med at overtakelsen </w:t>
      </w:r>
      <w:r w:rsidRPr="00FF7742">
        <w:rPr>
          <w:rFonts w:ascii="Calibri" w:eastAsia="Calibri" w:hAnsi="Calibri"/>
          <w:kern w:val="0"/>
          <w:szCs w:val="22"/>
          <w:lang w:val="nb-NO" w:eastAsia="en-US"/>
        </w:rPr>
        <w:t>av byggetiltakene som</w:t>
      </w:r>
      <w:r w:rsidRPr="00D0737B">
        <w:rPr>
          <w:rFonts w:ascii="Calibri" w:eastAsia="Calibri" w:hAnsi="Calibri"/>
          <w:kern w:val="0"/>
          <w:szCs w:val="22"/>
          <w:lang w:val="nb-NO" w:eastAsia="en-US"/>
        </w:rPr>
        <w:t xml:space="preserve"> nevnt</w:t>
      </w:r>
      <w:r>
        <w:rPr>
          <w:rFonts w:ascii="Calibri" w:eastAsia="Calibri" w:hAnsi="Calibri"/>
          <w:kern w:val="0"/>
          <w:szCs w:val="22"/>
          <w:lang w:val="nb-NO" w:eastAsia="en-US"/>
        </w:rPr>
        <w:t xml:space="preserve"> ovenfor</w:t>
      </w:r>
      <w:r w:rsidRPr="00D0737B">
        <w:rPr>
          <w:rFonts w:ascii="Calibri" w:eastAsia="Calibri" w:hAnsi="Calibri"/>
          <w:kern w:val="0"/>
          <w:szCs w:val="22"/>
          <w:lang w:val="nb-NO" w:eastAsia="en-US"/>
        </w:rPr>
        <w:t xml:space="preserve"> innebærer at </w:t>
      </w:r>
      <w:r>
        <w:rPr>
          <w:rFonts w:ascii="Calibri" w:eastAsia="Calibri" w:hAnsi="Calibri"/>
          <w:kern w:val="0"/>
          <w:szCs w:val="22"/>
          <w:lang w:val="nb-NO" w:eastAsia="en-US"/>
        </w:rPr>
        <w:t>Hamarøy kommune</w:t>
      </w:r>
      <w:r w:rsidRPr="00D0737B">
        <w:rPr>
          <w:rFonts w:ascii="Calibri" w:eastAsia="Calibri" w:hAnsi="Calibri"/>
          <w:kern w:val="0"/>
          <w:szCs w:val="22"/>
          <w:lang w:val="nb-NO" w:eastAsia="en-US"/>
        </w:rPr>
        <w:t xml:space="preserve"> hefter for eventuelle justeringer i den resterende del av justeringsperioden for de enkelte byggetiltakene. </w:t>
      </w:r>
    </w:p>
    <w:p w14:paraId="749ACEE9" w14:textId="39E7641A" w:rsidR="004633FA" w:rsidRPr="00D0737B" w:rsidRDefault="004633FA" w:rsidP="004633FA">
      <w:pPr>
        <w:pStyle w:val="MarginText"/>
        <w:spacing w:line="240" w:lineRule="auto"/>
        <w:jc w:val="left"/>
        <w:rPr>
          <w:rFonts w:ascii="Calibri" w:eastAsia="Calibri" w:hAnsi="Calibri"/>
          <w:kern w:val="0"/>
          <w:szCs w:val="22"/>
          <w:lang w:val="nb-NO" w:eastAsia="en-US"/>
        </w:rPr>
      </w:pPr>
      <w:r w:rsidRPr="00D0737B">
        <w:rPr>
          <w:rFonts w:ascii="Calibri" w:eastAsia="Calibri" w:hAnsi="Calibri"/>
          <w:kern w:val="0"/>
          <w:szCs w:val="22"/>
          <w:lang w:val="nb-NO" w:eastAsia="en-US"/>
        </w:rPr>
        <w:t xml:space="preserve">Dersom </w:t>
      </w:r>
      <w:r>
        <w:rPr>
          <w:rFonts w:ascii="Calibri" w:eastAsia="Calibri" w:hAnsi="Calibri"/>
          <w:kern w:val="0"/>
          <w:szCs w:val="22"/>
          <w:lang w:val="nb-NO" w:eastAsia="en-US"/>
        </w:rPr>
        <w:t>Innhavet Transport</w:t>
      </w:r>
      <w:r>
        <w:rPr>
          <w:rFonts w:ascii="Calibri" w:eastAsia="Calibri" w:hAnsi="Calibri"/>
          <w:kern w:val="0"/>
          <w:szCs w:val="22"/>
          <w:lang w:val="nb-NO" w:eastAsia="en-US"/>
        </w:rPr>
        <w:t xml:space="preserve"> AS </w:t>
      </w:r>
      <w:r w:rsidRPr="00D0737B">
        <w:rPr>
          <w:rFonts w:ascii="Calibri" w:eastAsia="Calibri" w:hAnsi="Calibri"/>
          <w:kern w:val="0"/>
          <w:szCs w:val="22"/>
          <w:lang w:val="nb-NO" w:eastAsia="en-US"/>
        </w:rPr>
        <w:t xml:space="preserve">likevel, og begrenset til tilfeller som fremkommer av </w:t>
      </w:r>
      <w:proofErr w:type="spellStart"/>
      <w:r w:rsidRPr="00D0737B">
        <w:rPr>
          <w:rFonts w:ascii="Calibri" w:eastAsia="Calibri" w:hAnsi="Calibri"/>
          <w:kern w:val="0"/>
          <w:szCs w:val="22"/>
          <w:lang w:val="nb-NO" w:eastAsia="en-US"/>
        </w:rPr>
        <w:t>merverdiavgiftsforskriftens</w:t>
      </w:r>
      <w:proofErr w:type="spellEnd"/>
      <w:r w:rsidRPr="00D0737B">
        <w:rPr>
          <w:rFonts w:ascii="Calibri" w:eastAsia="Calibri" w:hAnsi="Calibri"/>
          <w:kern w:val="0"/>
          <w:szCs w:val="22"/>
          <w:lang w:val="nb-NO" w:eastAsia="en-US"/>
        </w:rPr>
        <w:t xml:space="preserve"> bestemmelser, blir ansvarlig for oppfyllelse av justeringsplikt ved justeringshendelser som oppstår etter at justeringsplikt er overført </w:t>
      </w:r>
      <w:r>
        <w:rPr>
          <w:rFonts w:ascii="Calibri" w:eastAsia="Calibri" w:hAnsi="Calibri"/>
          <w:kern w:val="0"/>
          <w:szCs w:val="22"/>
          <w:lang w:val="nb-NO" w:eastAsia="en-US"/>
        </w:rPr>
        <w:t>Hamarøy kommune</w:t>
      </w:r>
      <w:r w:rsidRPr="00D0737B">
        <w:rPr>
          <w:rFonts w:ascii="Calibri" w:eastAsia="Calibri" w:hAnsi="Calibri"/>
          <w:kern w:val="0"/>
          <w:szCs w:val="22"/>
          <w:lang w:val="nb-NO" w:eastAsia="en-US"/>
        </w:rPr>
        <w:t>, plikter</w:t>
      </w:r>
      <w:r>
        <w:rPr>
          <w:rFonts w:ascii="Calibri" w:eastAsia="Calibri" w:hAnsi="Calibri"/>
          <w:kern w:val="0"/>
          <w:szCs w:val="22"/>
          <w:lang w:val="nb-NO" w:eastAsia="en-US"/>
        </w:rPr>
        <w:t xml:space="preserve"> </w:t>
      </w:r>
      <w:r>
        <w:rPr>
          <w:rFonts w:ascii="Calibri" w:eastAsia="Calibri" w:hAnsi="Calibri"/>
          <w:kern w:val="0"/>
          <w:szCs w:val="22"/>
          <w:lang w:val="nb-NO" w:eastAsia="en-US"/>
        </w:rPr>
        <w:t>Hamarøy kommune</w:t>
      </w:r>
      <w:r w:rsidRPr="00D0737B">
        <w:rPr>
          <w:rFonts w:ascii="Calibri" w:eastAsia="Calibri" w:hAnsi="Calibri"/>
          <w:kern w:val="0"/>
          <w:szCs w:val="22"/>
          <w:lang w:val="nb-NO" w:eastAsia="en-US"/>
        </w:rPr>
        <w:t xml:space="preserve"> å bidra med alle nødvendige opplysninger til </w:t>
      </w:r>
      <w:r>
        <w:rPr>
          <w:rFonts w:ascii="Calibri" w:eastAsia="Calibri" w:hAnsi="Calibri"/>
          <w:kern w:val="0"/>
          <w:szCs w:val="22"/>
          <w:lang w:val="nb-NO" w:eastAsia="en-US"/>
        </w:rPr>
        <w:t>Innhavet Transport</w:t>
      </w:r>
      <w:r>
        <w:rPr>
          <w:rFonts w:ascii="Calibri" w:eastAsia="Calibri" w:hAnsi="Calibri"/>
          <w:kern w:val="0"/>
          <w:szCs w:val="22"/>
          <w:lang w:val="nb-NO" w:eastAsia="en-US"/>
        </w:rPr>
        <w:t xml:space="preserve"> AS </w:t>
      </w:r>
      <w:r w:rsidRPr="00D0737B">
        <w:rPr>
          <w:rFonts w:ascii="Calibri" w:eastAsia="Calibri" w:hAnsi="Calibri"/>
          <w:kern w:val="0"/>
          <w:szCs w:val="22"/>
          <w:lang w:val="nb-NO" w:eastAsia="en-US"/>
        </w:rPr>
        <w:t xml:space="preserve">som </w:t>
      </w:r>
      <w:r>
        <w:rPr>
          <w:rFonts w:ascii="Calibri" w:eastAsia="Calibri" w:hAnsi="Calibri"/>
          <w:kern w:val="0"/>
          <w:szCs w:val="22"/>
          <w:lang w:val="nb-NO" w:eastAsia="en-US"/>
        </w:rPr>
        <w:t>Ha</w:t>
      </w:r>
      <w:r>
        <w:rPr>
          <w:rFonts w:ascii="Calibri" w:eastAsia="Calibri" w:hAnsi="Calibri"/>
          <w:kern w:val="0"/>
          <w:szCs w:val="22"/>
          <w:lang w:val="nb-NO" w:eastAsia="en-US"/>
        </w:rPr>
        <w:t xml:space="preserve">marøy kommune </w:t>
      </w:r>
      <w:r w:rsidRPr="00D0737B">
        <w:rPr>
          <w:rFonts w:ascii="Calibri" w:eastAsia="Calibri" w:hAnsi="Calibri"/>
          <w:kern w:val="0"/>
          <w:szCs w:val="22"/>
          <w:lang w:val="nb-NO" w:eastAsia="en-US"/>
        </w:rPr>
        <w:t>har tilgang til.</w:t>
      </w:r>
    </w:p>
    <w:p w14:paraId="7200AFFC" w14:textId="263117D4" w:rsidR="004633FA" w:rsidRDefault="004633FA" w:rsidP="004633FA">
      <w:pPr>
        <w:pStyle w:val="MarginText"/>
        <w:spacing w:line="240" w:lineRule="auto"/>
        <w:jc w:val="left"/>
        <w:rPr>
          <w:rFonts w:ascii="Calibri" w:eastAsia="Calibri" w:hAnsi="Calibri"/>
          <w:kern w:val="0"/>
          <w:szCs w:val="22"/>
          <w:lang w:val="nb-NO" w:eastAsia="en-US"/>
        </w:rPr>
      </w:pPr>
      <w:r w:rsidRPr="00D0737B">
        <w:rPr>
          <w:rFonts w:ascii="Calibri" w:eastAsia="Calibri" w:hAnsi="Calibri"/>
          <w:kern w:val="0"/>
          <w:szCs w:val="22"/>
          <w:lang w:val="nb-NO" w:eastAsia="en-US"/>
        </w:rPr>
        <w:t xml:space="preserve">Dersom opplysninger som er oppgitt i Avtalen endres etter at Avtalen er inngått, plikter </w:t>
      </w:r>
      <w:r>
        <w:rPr>
          <w:rFonts w:ascii="Calibri" w:eastAsia="Calibri" w:hAnsi="Calibri"/>
          <w:kern w:val="0"/>
          <w:szCs w:val="22"/>
          <w:lang w:val="nb-NO" w:eastAsia="en-US"/>
        </w:rPr>
        <w:t>Innhavet Transport</w:t>
      </w:r>
      <w:r>
        <w:rPr>
          <w:rFonts w:ascii="Calibri" w:eastAsia="Calibri" w:hAnsi="Calibri"/>
          <w:kern w:val="0"/>
          <w:szCs w:val="22"/>
          <w:lang w:val="nb-NO" w:eastAsia="en-US"/>
        </w:rPr>
        <w:t xml:space="preserve"> AS </w:t>
      </w:r>
      <w:r w:rsidRPr="00D0737B">
        <w:rPr>
          <w:rFonts w:ascii="Calibri" w:eastAsia="Calibri" w:hAnsi="Calibri"/>
          <w:kern w:val="0"/>
          <w:szCs w:val="22"/>
          <w:lang w:val="nb-NO" w:eastAsia="en-US"/>
        </w:rPr>
        <w:t xml:space="preserve">å rette dette overfor </w:t>
      </w:r>
      <w:r>
        <w:rPr>
          <w:rFonts w:ascii="Calibri" w:eastAsia="Calibri" w:hAnsi="Calibri"/>
          <w:kern w:val="0"/>
          <w:szCs w:val="22"/>
          <w:lang w:val="nb-NO" w:eastAsia="en-US"/>
        </w:rPr>
        <w:t>Ha</w:t>
      </w:r>
      <w:r>
        <w:rPr>
          <w:rFonts w:ascii="Calibri" w:eastAsia="Calibri" w:hAnsi="Calibri"/>
          <w:kern w:val="0"/>
          <w:szCs w:val="22"/>
          <w:lang w:val="nb-NO" w:eastAsia="en-US"/>
        </w:rPr>
        <w:t xml:space="preserve">marøy kommune </w:t>
      </w:r>
      <w:r w:rsidRPr="00D0737B">
        <w:rPr>
          <w:rFonts w:ascii="Calibri" w:eastAsia="Calibri" w:hAnsi="Calibri"/>
          <w:kern w:val="0"/>
          <w:szCs w:val="22"/>
          <w:lang w:val="nb-NO" w:eastAsia="en-US"/>
        </w:rPr>
        <w:t>dersom opply</w:t>
      </w:r>
      <w:r>
        <w:rPr>
          <w:rFonts w:ascii="Calibri" w:eastAsia="Calibri" w:hAnsi="Calibri"/>
          <w:kern w:val="0"/>
          <w:szCs w:val="22"/>
          <w:lang w:val="nb-NO" w:eastAsia="en-US"/>
        </w:rPr>
        <w:t>s</w:t>
      </w:r>
      <w:r w:rsidRPr="00D0737B">
        <w:rPr>
          <w:rFonts w:ascii="Calibri" w:eastAsia="Calibri" w:hAnsi="Calibri"/>
          <w:kern w:val="0"/>
          <w:szCs w:val="22"/>
          <w:lang w:val="nb-NO" w:eastAsia="en-US"/>
        </w:rPr>
        <w:t xml:space="preserve">ningene kan påvirke </w:t>
      </w:r>
      <w:r>
        <w:rPr>
          <w:rFonts w:ascii="Calibri" w:eastAsia="Calibri" w:hAnsi="Calibri"/>
          <w:kern w:val="0"/>
          <w:szCs w:val="22"/>
          <w:lang w:val="nb-NO" w:eastAsia="en-US"/>
        </w:rPr>
        <w:t>Ha</w:t>
      </w:r>
      <w:r>
        <w:rPr>
          <w:rFonts w:ascii="Calibri" w:eastAsia="Calibri" w:hAnsi="Calibri"/>
          <w:kern w:val="0"/>
          <w:szCs w:val="22"/>
          <w:lang w:val="nb-NO" w:eastAsia="en-US"/>
        </w:rPr>
        <w:t xml:space="preserve">marøy kommune </w:t>
      </w:r>
      <w:r>
        <w:rPr>
          <w:rFonts w:ascii="Calibri" w:eastAsia="Calibri" w:hAnsi="Calibri"/>
          <w:kern w:val="0"/>
          <w:szCs w:val="22"/>
          <w:lang w:val="nb-NO" w:eastAsia="en-US"/>
        </w:rPr>
        <w:t xml:space="preserve">sin </w:t>
      </w:r>
      <w:r w:rsidRPr="00D0737B">
        <w:rPr>
          <w:rFonts w:ascii="Calibri" w:eastAsia="Calibri" w:hAnsi="Calibri"/>
          <w:kern w:val="0"/>
          <w:szCs w:val="22"/>
          <w:lang w:val="nb-NO" w:eastAsia="en-US"/>
        </w:rPr>
        <w:t xml:space="preserve">justeringsplikt og/eller justeringsrett.  </w:t>
      </w:r>
    </w:p>
    <w:p w14:paraId="1F6C53C1" w14:textId="77777777" w:rsidR="004633FA" w:rsidRPr="00D0737B" w:rsidRDefault="004633FA" w:rsidP="004633FA">
      <w:pPr>
        <w:pStyle w:val="MarginText"/>
        <w:spacing w:line="240" w:lineRule="auto"/>
        <w:jc w:val="left"/>
        <w:rPr>
          <w:rFonts w:ascii="Calibri" w:eastAsia="Calibri" w:hAnsi="Calibri"/>
          <w:kern w:val="0"/>
          <w:szCs w:val="22"/>
          <w:lang w:val="nb-NO" w:eastAsia="en-US"/>
        </w:rPr>
      </w:pPr>
    </w:p>
    <w:p w14:paraId="19D5DAAC" w14:textId="1A43E195" w:rsidR="004633FA" w:rsidRPr="007D047E" w:rsidRDefault="004633FA" w:rsidP="004633FA">
      <w:pPr>
        <w:spacing w:after="280" w:afterAutospacing="1"/>
      </w:pPr>
      <w:r w:rsidRPr="007D047E">
        <w:t xml:space="preserve">Partene samtykker til at justeringsforpliktelsen til </w:t>
      </w:r>
      <w:r w:rsidR="00B42C3A">
        <w:t>infrastruktur/veia</w:t>
      </w:r>
      <w:r w:rsidRPr="007D047E">
        <w:t xml:space="preserve">nlegget på eiendommen overføres fra </w:t>
      </w:r>
      <w:r>
        <w:t>Innhavet Transport</w:t>
      </w:r>
      <w:r w:rsidRPr="007D047E">
        <w:t xml:space="preserve"> AS til Ha</w:t>
      </w:r>
      <w:r>
        <w:t>marøy kommune</w:t>
      </w:r>
      <w:r w:rsidRPr="007D047E">
        <w:t xml:space="preserve"> ved signering av denne avtalen.</w:t>
      </w:r>
    </w:p>
    <w:p w14:paraId="3C32BDDE" w14:textId="78390CAA" w:rsidR="004633FA" w:rsidRPr="007D047E" w:rsidRDefault="004633FA" w:rsidP="004633FA">
      <w:pPr>
        <w:spacing w:after="280" w:afterAutospacing="1"/>
      </w:pPr>
      <w:r w:rsidRPr="007D047E">
        <w:t xml:space="preserve">Avtalen er i 2 originale eksemplar hvorav partene beholder </w:t>
      </w:r>
      <w:proofErr w:type="spellStart"/>
      <w:proofErr w:type="gramStart"/>
      <w:r w:rsidRPr="007D047E">
        <w:t>e</w:t>
      </w:r>
      <w:r>
        <w:t>n</w:t>
      </w:r>
      <w:r w:rsidRPr="007D047E">
        <w:t xml:space="preserve"> hver</w:t>
      </w:r>
      <w:proofErr w:type="spellEnd"/>
      <w:proofErr w:type="gramEnd"/>
      <w:r w:rsidRPr="007D047E">
        <w:t>.</w:t>
      </w:r>
    </w:p>
    <w:p w14:paraId="01AACF22" w14:textId="77777777" w:rsidR="004633FA" w:rsidRPr="007D047E" w:rsidRDefault="004633FA" w:rsidP="004633FA">
      <w:pPr>
        <w:spacing w:after="280" w:afterAutospacing="1"/>
      </w:pPr>
    </w:p>
    <w:p w14:paraId="10D90AE5" w14:textId="107808C0" w:rsidR="004633FA" w:rsidRPr="007D047E" w:rsidRDefault="004633FA" w:rsidP="004633FA">
      <w:pPr>
        <w:spacing w:after="280" w:afterAutospacing="1"/>
      </w:pPr>
      <w:r>
        <w:t>Hamarøy</w:t>
      </w:r>
      <w:r>
        <w:t xml:space="preserve">, </w:t>
      </w:r>
      <w:r>
        <w:t>…</w:t>
      </w:r>
      <w:proofErr w:type="gramStart"/>
      <w:r>
        <w:t>………….</w:t>
      </w:r>
      <w:proofErr w:type="gramEnd"/>
      <w:r>
        <w:t xml:space="preserve">. 2023          </w:t>
      </w:r>
      <w:r>
        <w:tab/>
      </w:r>
      <w:r>
        <w:tab/>
        <w:t>Ha</w:t>
      </w:r>
      <w:r>
        <w:t>marøy, ……………… 2023</w:t>
      </w:r>
    </w:p>
    <w:tbl>
      <w:tblPr>
        <w:tblW w:w="0" w:type="auto"/>
        <w:tblCellMar>
          <w:left w:w="0" w:type="dxa"/>
          <w:right w:w="0" w:type="dxa"/>
        </w:tblCellMar>
        <w:tblLook w:val="04A0" w:firstRow="1" w:lastRow="0" w:firstColumn="1" w:lastColumn="0" w:noHBand="0" w:noVBand="1"/>
      </w:tblPr>
      <w:tblGrid>
        <w:gridCol w:w="3478"/>
        <w:gridCol w:w="3610"/>
      </w:tblGrid>
      <w:tr w:rsidR="004633FA" w:rsidRPr="007D047E" w14:paraId="40ACBEC2" w14:textId="77777777" w:rsidTr="000E4161">
        <w:tc>
          <w:tcPr>
            <w:tcW w:w="0" w:type="auto"/>
            <w:tcBorders>
              <w:top w:val="nil"/>
              <w:left w:val="nil"/>
              <w:bottom w:val="nil"/>
              <w:right w:val="nil"/>
            </w:tcBorders>
            <w:shd w:val="clear" w:color="auto" w:fill="auto"/>
            <w:tcMar>
              <w:top w:w="75" w:type="dxa"/>
              <w:left w:w="150" w:type="dxa"/>
              <w:bottom w:w="75" w:type="dxa"/>
              <w:right w:w="150" w:type="dxa"/>
            </w:tcMar>
            <w:vAlign w:val="center"/>
          </w:tcPr>
          <w:p w14:paraId="7183A7DE" w14:textId="450752E5" w:rsidR="004633FA" w:rsidRPr="007D047E" w:rsidRDefault="004633FA" w:rsidP="002D3437">
            <w:pPr>
              <w:spacing w:after="0"/>
            </w:pPr>
            <w:r w:rsidRPr="007D047E">
              <w:t xml:space="preserve">For </w:t>
            </w:r>
            <w:r>
              <w:t>Innhavet Transport</w:t>
            </w:r>
            <w:r w:rsidRPr="007D047E">
              <w:t xml:space="preserve"> AS</w:t>
            </w:r>
          </w:p>
        </w:tc>
        <w:tc>
          <w:tcPr>
            <w:tcW w:w="3610" w:type="dxa"/>
            <w:tcBorders>
              <w:top w:val="nil"/>
              <w:left w:val="nil"/>
              <w:bottom w:val="nil"/>
              <w:right w:val="nil"/>
            </w:tcBorders>
            <w:shd w:val="clear" w:color="auto" w:fill="auto"/>
            <w:tcMar>
              <w:top w:w="75" w:type="dxa"/>
              <w:left w:w="150" w:type="dxa"/>
              <w:bottom w:w="75" w:type="dxa"/>
              <w:right w:w="150" w:type="dxa"/>
            </w:tcMar>
            <w:vAlign w:val="center"/>
          </w:tcPr>
          <w:p w14:paraId="62CBD4BA" w14:textId="6ECDB51A" w:rsidR="004633FA" w:rsidRPr="007D047E" w:rsidRDefault="004633FA" w:rsidP="002D3437">
            <w:pPr>
              <w:spacing w:after="0"/>
            </w:pPr>
            <w:r w:rsidRPr="007D047E">
              <w:t xml:space="preserve">For </w:t>
            </w:r>
            <w:r>
              <w:t>Hamarøy kommune</w:t>
            </w:r>
          </w:p>
        </w:tc>
      </w:tr>
      <w:tr w:rsidR="004633FA" w:rsidRPr="007D047E" w14:paraId="526F9A4D" w14:textId="77777777" w:rsidTr="000E4161">
        <w:tc>
          <w:tcPr>
            <w:tcW w:w="0" w:type="auto"/>
            <w:tcBorders>
              <w:top w:val="nil"/>
              <w:left w:val="nil"/>
              <w:bottom w:val="nil"/>
              <w:right w:val="nil"/>
            </w:tcBorders>
            <w:shd w:val="clear" w:color="auto" w:fill="auto"/>
            <w:tcMar>
              <w:top w:w="75" w:type="dxa"/>
              <w:left w:w="150" w:type="dxa"/>
              <w:bottom w:w="75" w:type="dxa"/>
              <w:right w:w="150" w:type="dxa"/>
            </w:tcMar>
            <w:vAlign w:val="center"/>
          </w:tcPr>
          <w:p w14:paraId="492D0017" w14:textId="77777777" w:rsidR="004633FA" w:rsidRDefault="004633FA" w:rsidP="002D3437">
            <w:pPr>
              <w:spacing w:after="0"/>
            </w:pPr>
            <w:r w:rsidRPr="007D047E">
              <w:br/>
              <w:t>_____________________________</w:t>
            </w:r>
          </w:p>
          <w:p w14:paraId="3E1EF47D" w14:textId="36DFA7F1" w:rsidR="004633FA" w:rsidRPr="007D047E" w:rsidRDefault="004633FA" w:rsidP="002D3437">
            <w:pPr>
              <w:spacing w:after="0"/>
            </w:pPr>
            <w:r>
              <w:t>………………</w:t>
            </w:r>
            <w:proofErr w:type="gramStart"/>
            <w:r>
              <w:t>………….</w:t>
            </w:r>
            <w:proofErr w:type="gramEnd"/>
            <w:r>
              <w:t xml:space="preserve">, daglig leder </w:t>
            </w:r>
            <w:r w:rsidRPr="007D047E">
              <w:br/>
            </w:r>
          </w:p>
        </w:tc>
        <w:tc>
          <w:tcPr>
            <w:tcW w:w="3610" w:type="dxa"/>
            <w:tcBorders>
              <w:top w:val="nil"/>
              <w:left w:val="nil"/>
              <w:bottom w:val="nil"/>
              <w:right w:val="nil"/>
            </w:tcBorders>
            <w:shd w:val="clear" w:color="auto" w:fill="auto"/>
            <w:tcMar>
              <w:top w:w="75" w:type="dxa"/>
              <w:left w:w="150" w:type="dxa"/>
              <w:bottom w:w="75" w:type="dxa"/>
              <w:right w:w="150" w:type="dxa"/>
            </w:tcMar>
            <w:vAlign w:val="center"/>
          </w:tcPr>
          <w:p w14:paraId="44963B59" w14:textId="7A7AB3D7" w:rsidR="004633FA" w:rsidRPr="007D047E" w:rsidRDefault="004633FA" w:rsidP="002D3437">
            <w:pPr>
              <w:spacing w:after="0"/>
            </w:pPr>
            <w:r w:rsidRPr="007D047E">
              <w:t>_____________________________</w:t>
            </w:r>
            <w:r w:rsidRPr="007D047E">
              <w:br/>
            </w:r>
            <w:r>
              <w:t>…………………………</w:t>
            </w:r>
            <w:r w:rsidR="000E4161">
              <w:t xml:space="preserve">, kommunedirektør </w:t>
            </w:r>
          </w:p>
        </w:tc>
      </w:tr>
    </w:tbl>
    <w:p w14:paraId="1E7F5511" w14:textId="77777777" w:rsidR="004633FA" w:rsidRPr="00682EBA" w:rsidRDefault="004633FA" w:rsidP="004633FA">
      <w:pPr>
        <w:spacing w:after="280" w:afterAutospacing="1"/>
        <w:rPr>
          <w:color w:val="FF0000"/>
        </w:rPr>
      </w:pPr>
    </w:p>
    <w:p w14:paraId="15EF1F88" w14:textId="77777777" w:rsidR="004633FA" w:rsidRPr="00682EBA" w:rsidRDefault="004633FA" w:rsidP="004633FA">
      <w:pPr>
        <w:spacing w:line="240" w:lineRule="auto"/>
        <w:rPr>
          <w:color w:val="FF0000"/>
          <w:sz w:val="24"/>
          <w:szCs w:val="24"/>
        </w:rPr>
      </w:pPr>
    </w:p>
    <w:p w14:paraId="2315F59E" w14:textId="77777777" w:rsidR="0059781A" w:rsidRDefault="0059781A"/>
    <w:sectPr w:rsidR="0059781A">
      <w:footerReference w:type="default" r:id="rId5"/>
      <w:pgSz w:w="11906" w:h="16838"/>
      <w:pgMar w:top="1417" w:right="1417" w:bottom="1417" w:left="1417"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36"/>
      <w:gridCol w:w="4536"/>
    </w:tblGrid>
    <w:tr w:rsidR="00834094" w14:paraId="2187A3D3" w14:textId="77777777">
      <w:tc>
        <w:tcPr>
          <w:tcW w:w="4536" w:type="dxa"/>
          <w:vAlign w:val="center"/>
        </w:tcPr>
        <w:p w14:paraId="11995A48" w14:textId="77777777" w:rsidR="00834094" w:rsidRPr="003554B7" w:rsidRDefault="00031C65" w:rsidP="00834094">
          <w:pPr>
            <w:pStyle w:val="Bunntekst"/>
            <w:spacing w:before="200"/>
            <w:rPr>
              <w:sz w:val="20"/>
            </w:rPr>
          </w:pPr>
        </w:p>
      </w:tc>
      <w:tc>
        <w:tcPr>
          <w:tcW w:w="4536" w:type="dxa"/>
          <w:vAlign w:val="center"/>
        </w:tcPr>
        <w:p w14:paraId="432946A3" w14:textId="77777777" w:rsidR="00834094" w:rsidRPr="003554B7" w:rsidRDefault="00031C65" w:rsidP="00834094">
          <w:pPr>
            <w:pStyle w:val="Bunntekst"/>
            <w:spacing w:before="200"/>
            <w:jc w:val="right"/>
            <w:rPr>
              <w:sz w:val="20"/>
            </w:rPr>
          </w:pPr>
          <w:r w:rsidRPr="003554B7">
            <w:rPr>
              <w:sz w:val="20"/>
            </w:rPr>
            <w:t xml:space="preserve">Side </w:t>
          </w:r>
          <w:r w:rsidRPr="003554B7">
            <w:rPr>
              <w:sz w:val="20"/>
            </w:rPr>
            <w:fldChar w:fldCharType="begin"/>
          </w:r>
          <w:r w:rsidRPr="003554B7">
            <w:rPr>
              <w:sz w:val="20"/>
            </w:rPr>
            <w:instrText>PAGE</w:instrText>
          </w:r>
          <w:r w:rsidRPr="003554B7">
            <w:rPr>
              <w:sz w:val="20"/>
            </w:rPr>
            <w:fldChar w:fldCharType="separate"/>
          </w:r>
          <w:r>
            <w:rPr>
              <w:noProof/>
              <w:sz w:val="20"/>
            </w:rPr>
            <w:t>2</w:t>
          </w:r>
          <w:r w:rsidRPr="003554B7">
            <w:rPr>
              <w:sz w:val="20"/>
            </w:rPr>
            <w:fldChar w:fldCharType="end"/>
          </w:r>
          <w:r w:rsidRPr="003554B7">
            <w:rPr>
              <w:sz w:val="20"/>
            </w:rPr>
            <w:t xml:space="preserve"> av </w:t>
          </w:r>
          <w:r w:rsidRPr="003554B7">
            <w:rPr>
              <w:sz w:val="20"/>
            </w:rPr>
            <w:fldChar w:fldCharType="begin"/>
          </w:r>
          <w:r w:rsidRPr="003554B7">
            <w:rPr>
              <w:sz w:val="20"/>
            </w:rPr>
            <w:instrText>NUMPAGES</w:instrText>
          </w:r>
          <w:r w:rsidRPr="003554B7">
            <w:rPr>
              <w:sz w:val="20"/>
            </w:rPr>
            <w:fldChar w:fldCharType="separate"/>
          </w:r>
          <w:r>
            <w:rPr>
              <w:noProof/>
              <w:sz w:val="20"/>
            </w:rPr>
            <w:t>3</w:t>
          </w:r>
          <w:r w:rsidRPr="003554B7">
            <w:rPr>
              <w:sz w:val="20"/>
            </w:rPr>
            <w:fldChar w:fldCharType="end"/>
          </w:r>
        </w:p>
      </w:tc>
    </w:tr>
  </w:tbl>
  <w:p w14:paraId="6BA48980" w14:textId="77777777" w:rsidR="00834094" w:rsidRPr="003554B7" w:rsidRDefault="00031C65" w:rsidP="00834094">
    <w:pPr>
      <w:pStyle w:val="Bunntekst"/>
      <w:spacing w:before="200" w:beforeAutospacing="1"/>
    </w:pPr>
  </w:p>
  <w:p w14:paraId="223BE804" w14:textId="77777777" w:rsidR="00834094" w:rsidRDefault="00031C65">
    <w:pPr>
      <w:pStyle w:val="Bunn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55AB9E2">
      <w:start w:val="1"/>
      <w:numFmt w:val="decimal"/>
      <w:lvlText w:val="%1."/>
      <w:lvlJc w:val="left"/>
      <w:pPr>
        <w:tabs>
          <w:tab w:val="num" w:pos="720"/>
        </w:tabs>
        <w:ind w:left="720" w:hanging="360"/>
      </w:pPr>
    </w:lvl>
    <w:lvl w:ilvl="1" w:tplc="C4CC5102">
      <w:start w:val="1"/>
      <w:numFmt w:val="lowerLetter"/>
      <w:lvlText w:val="%2."/>
      <w:lvlJc w:val="left"/>
      <w:pPr>
        <w:tabs>
          <w:tab w:val="num" w:pos="1440"/>
        </w:tabs>
        <w:ind w:left="1440" w:hanging="360"/>
      </w:pPr>
    </w:lvl>
    <w:lvl w:ilvl="2" w:tplc="1CA8D444">
      <w:start w:val="1"/>
      <w:numFmt w:val="lowerRoman"/>
      <w:lvlText w:val="%3."/>
      <w:lvlJc w:val="right"/>
      <w:pPr>
        <w:tabs>
          <w:tab w:val="num" w:pos="2160"/>
        </w:tabs>
        <w:ind w:left="2160" w:hanging="180"/>
      </w:pPr>
    </w:lvl>
    <w:lvl w:ilvl="3" w:tplc="C4AC9124">
      <w:start w:val="1"/>
      <w:numFmt w:val="decimal"/>
      <w:lvlText w:val="%4."/>
      <w:lvlJc w:val="left"/>
      <w:pPr>
        <w:tabs>
          <w:tab w:val="num" w:pos="2880"/>
        </w:tabs>
        <w:ind w:left="2880" w:hanging="360"/>
      </w:pPr>
    </w:lvl>
    <w:lvl w:ilvl="4" w:tplc="906AC1BA">
      <w:start w:val="1"/>
      <w:numFmt w:val="lowerLetter"/>
      <w:lvlText w:val="%5."/>
      <w:lvlJc w:val="left"/>
      <w:pPr>
        <w:tabs>
          <w:tab w:val="num" w:pos="3600"/>
        </w:tabs>
        <w:ind w:left="3600" w:hanging="360"/>
      </w:pPr>
    </w:lvl>
    <w:lvl w:ilvl="5" w:tplc="A066FC6E">
      <w:start w:val="1"/>
      <w:numFmt w:val="lowerRoman"/>
      <w:lvlText w:val="%6."/>
      <w:lvlJc w:val="right"/>
      <w:pPr>
        <w:tabs>
          <w:tab w:val="num" w:pos="4320"/>
        </w:tabs>
        <w:ind w:left="4320" w:hanging="180"/>
      </w:pPr>
    </w:lvl>
    <w:lvl w:ilvl="6" w:tplc="8D7C70F0">
      <w:start w:val="1"/>
      <w:numFmt w:val="decimal"/>
      <w:lvlText w:val="%7."/>
      <w:lvlJc w:val="left"/>
      <w:pPr>
        <w:tabs>
          <w:tab w:val="num" w:pos="5040"/>
        </w:tabs>
        <w:ind w:left="5040" w:hanging="360"/>
      </w:pPr>
    </w:lvl>
    <w:lvl w:ilvl="7" w:tplc="0930B750">
      <w:start w:val="1"/>
      <w:numFmt w:val="lowerLetter"/>
      <w:lvlText w:val="%8."/>
      <w:lvlJc w:val="left"/>
      <w:pPr>
        <w:tabs>
          <w:tab w:val="num" w:pos="5760"/>
        </w:tabs>
        <w:ind w:left="5760" w:hanging="360"/>
      </w:pPr>
    </w:lvl>
    <w:lvl w:ilvl="8" w:tplc="2B0A73E4">
      <w:start w:val="1"/>
      <w:numFmt w:val="lowerRoman"/>
      <w:lvlText w:val="%9."/>
      <w:lvlJc w:val="right"/>
      <w:pPr>
        <w:tabs>
          <w:tab w:val="num" w:pos="6480"/>
        </w:tabs>
        <w:ind w:left="6480" w:hanging="180"/>
      </w:pPr>
    </w:lvl>
  </w:abstractNum>
  <w:num w:numId="1" w16cid:durableId="50699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FA"/>
    <w:rsid w:val="000E4161"/>
    <w:rsid w:val="002925C5"/>
    <w:rsid w:val="002A7445"/>
    <w:rsid w:val="002D629A"/>
    <w:rsid w:val="00366688"/>
    <w:rsid w:val="004633FA"/>
    <w:rsid w:val="004E1D83"/>
    <w:rsid w:val="0059781A"/>
    <w:rsid w:val="005A28F6"/>
    <w:rsid w:val="005D5032"/>
    <w:rsid w:val="00734896"/>
    <w:rsid w:val="008D02FC"/>
    <w:rsid w:val="00955425"/>
    <w:rsid w:val="00B42C3A"/>
    <w:rsid w:val="00B54AEC"/>
    <w:rsid w:val="00C74CE1"/>
    <w:rsid w:val="00D10B5F"/>
    <w:rsid w:val="00DE6262"/>
    <w:rsid w:val="00E62587"/>
    <w:rsid w:val="00E84424"/>
    <w:rsid w:val="00FF77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D807"/>
  <w15:chartTrackingRefBased/>
  <w15:docId w15:val="{8A72E491-2D37-4A17-9E1E-AA57332F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FA"/>
    <w:pPr>
      <w:spacing w:after="200" w:line="276" w:lineRule="auto"/>
    </w:pPr>
    <w:rPr>
      <w:rFonts w:ascii="Calibri" w:eastAsia="Calibri" w:hAnsi="Calibri" w:cs="Times New Roman"/>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autoRedefine/>
    <w:uiPriority w:val="10"/>
    <w:qFormat/>
    <w:rsid w:val="004633FA"/>
    <w:pPr>
      <w:spacing w:before="40" w:after="480" w:line="240" w:lineRule="auto"/>
      <w:contextualSpacing/>
    </w:pPr>
    <w:rPr>
      <w:rFonts w:eastAsia="Times New Roman"/>
      <w:b/>
      <w:color w:val="000000"/>
      <w:spacing w:val="5"/>
      <w:kern w:val="28"/>
      <w:sz w:val="34"/>
      <w:szCs w:val="52"/>
    </w:rPr>
  </w:style>
  <w:style w:type="character" w:customStyle="1" w:styleId="TittelTegn">
    <w:name w:val="Tittel Tegn"/>
    <w:basedOn w:val="Standardskriftforavsnitt"/>
    <w:link w:val="Tittel"/>
    <w:uiPriority w:val="10"/>
    <w:rsid w:val="004633FA"/>
    <w:rPr>
      <w:rFonts w:ascii="Calibri" w:eastAsia="Times New Roman" w:hAnsi="Calibri" w:cs="Times New Roman"/>
      <w:b/>
      <w:color w:val="000000"/>
      <w:spacing w:val="5"/>
      <w:kern w:val="28"/>
      <w:sz w:val="34"/>
      <w:szCs w:val="52"/>
      <w14:ligatures w14:val="none"/>
    </w:rPr>
  </w:style>
  <w:style w:type="paragraph" w:styleId="Bunntekst">
    <w:name w:val="footer"/>
    <w:basedOn w:val="Normal"/>
    <w:link w:val="BunntekstTegn"/>
    <w:uiPriority w:val="99"/>
    <w:unhideWhenUsed/>
    <w:rsid w:val="004633FA"/>
    <w:pPr>
      <w:tabs>
        <w:tab w:val="center" w:pos="4536"/>
        <w:tab w:val="right" w:pos="9072"/>
      </w:tabs>
      <w:spacing w:before="40" w:after="0" w:line="240" w:lineRule="auto"/>
    </w:pPr>
  </w:style>
  <w:style w:type="character" w:customStyle="1" w:styleId="BunntekstTegn">
    <w:name w:val="Bunntekst Tegn"/>
    <w:basedOn w:val="Standardskriftforavsnitt"/>
    <w:link w:val="Bunntekst"/>
    <w:uiPriority w:val="99"/>
    <w:rsid w:val="004633FA"/>
    <w:rPr>
      <w:rFonts w:ascii="Calibri" w:eastAsia="Calibri" w:hAnsi="Calibri" w:cs="Times New Roman"/>
      <w:kern w:val="0"/>
      <w14:ligatures w14:val="none"/>
    </w:rPr>
  </w:style>
  <w:style w:type="paragraph" w:customStyle="1" w:styleId="MarginText">
    <w:name w:val="Margin Text"/>
    <w:basedOn w:val="Normal"/>
    <w:rsid w:val="004633FA"/>
    <w:pPr>
      <w:adjustRightInd w:val="0"/>
      <w:spacing w:after="240" w:line="360" w:lineRule="auto"/>
      <w:jc w:val="both"/>
    </w:pPr>
    <w:rPr>
      <w:rFonts w:ascii="Times New Roman" w:eastAsia="STZhongsong" w:hAnsi="Times New Roman"/>
      <w:kern w:val="28"/>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762</Words>
  <Characters>4043</Characters>
  <Application>Microsoft Office Word</Application>
  <DocSecurity>0</DocSecurity>
  <Lines>33</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Julin Pettersen</dc:creator>
  <cp:keywords/>
  <dc:description/>
  <cp:lastModifiedBy>Tove Julin Pettersen</cp:lastModifiedBy>
  <cp:revision>24</cp:revision>
  <dcterms:created xsi:type="dcterms:W3CDTF">2023-06-19T09:52:00Z</dcterms:created>
  <dcterms:modified xsi:type="dcterms:W3CDTF">2023-06-19T10:45:00Z</dcterms:modified>
</cp:coreProperties>
</file>